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BBE67A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12633B">
        <w:rPr>
          <w:rFonts w:ascii="Azo Sans Md" w:hAnsi="Azo Sans Md" w:cstheme="minorHAnsi"/>
          <w:bCs/>
          <w:szCs w:val="24"/>
        </w:rPr>
        <w:t>251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0D097DB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2633B">
        <w:rPr>
          <w:rFonts w:ascii="Azo Sans Md" w:hAnsi="Azo Sans Md" w:cstheme="minorHAnsi"/>
          <w:szCs w:val="24"/>
        </w:rPr>
        <w:t>18.962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C4B7DF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12633B">
        <w:rPr>
          <w:rFonts w:ascii="Azo Sans Lt" w:hAnsi="Azo Sans Lt" w:cstheme="minorHAnsi"/>
          <w:bCs/>
          <w:szCs w:val="24"/>
        </w:rPr>
        <w:t>GLOBAL</w:t>
      </w:r>
    </w:p>
    <w:p w14:paraId="7E9A5D0D" w14:textId="6E933383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12633B" w:rsidRPr="0012633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Contratação de empresa especializada para o fornecimento de LANCHE para atender ao Serviço de Convivência e Fortalecimento de Vínculos para Pessoas Idosas ofertado no Espaço de Convivência e Eventos Corporativos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56B10F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12633B">
        <w:rPr>
          <w:rFonts w:ascii="Azo Sans Md" w:hAnsi="Azo Sans Md" w:cstheme="minorHAnsi"/>
          <w:sz w:val="22"/>
          <w:szCs w:val="22"/>
        </w:rPr>
        <w:t>251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12633B" w:rsidRPr="0012633B">
        <w:rPr>
          <w:rFonts w:ascii="Azo Sans Md" w:hAnsi="Azo Sans Md" w:cstheme="minorHAnsi"/>
          <w:b/>
          <w:bCs/>
          <w:sz w:val="22"/>
          <w:szCs w:val="22"/>
        </w:rPr>
        <w:t>Contratação de empresa especializada para o fornecimento de LANCHE para atender ao Serviço de Convivência e Fortalecimento de Vínculos para Pessoas Idosas ofertado no Espaço de Convivência e Eventos Corporativos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4"/>
        <w:tblW w:w="5000" w:type="pct"/>
        <w:tblLook w:val="04A0" w:firstRow="1" w:lastRow="0" w:firstColumn="1" w:lastColumn="0" w:noHBand="0" w:noVBand="1"/>
      </w:tblPr>
      <w:tblGrid>
        <w:gridCol w:w="684"/>
        <w:gridCol w:w="4182"/>
        <w:gridCol w:w="916"/>
        <w:gridCol w:w="663"/>
        <w:gridCol w:w="943"/>
        <w:gridCol w:w="970"/>
        <w:gridCol w:w="702"/>
      </w:tblGrid>
      <w:tr w:rsidR="0012633B" w:rsidRPr="0012633B" w14:paraId="476E53B8" w14:textId="77777777" w:rsidTr="0012633B">
        <w:tc>
          <w:tcPr>
            <w:tcW w:w="377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48755E71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</w:pPr>
            <w:r w:rsidRPr="0012633B"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251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59B4F3FC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</w:pPr>
            <w:r w:rsidRPr="0012633B"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29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0E00E9B6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</w:pPr>
            <w:r w:rsidRPr="0012633B"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  <w:t>MARCA</w:t>
            </w:r>
          </w:p>
        </w:tc>
        <w:tc>
          <w:tcPr>
            <w:tcW w:w="36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54129274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</w:pPr>
            <w:r w:rsidRPr="0012633B"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52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78953D7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</w:pPr>
            <w:r w:rsidRPr="0012633B"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/>
          </w:tcPr>
          <w:p w14:paraId="1A6247EF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</w:pPr>
            <w:r w:rsidRPr="0012633B">
              <w:rPr>
                <w:rFonts w:ascii="Calibri" w:eastAsia="Calibri" w:hAnsi="Calibri" w:cstheme="minorBidi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12633B" w:rsidRPr="0012633B" w14:paraId="7622694A" w14:textId="77777777" w:rsidTr="0012633B">
        <w:tc>
          <w:tcPr>
            <w:tcW w:w="377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E8EA703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color w:val="FFFFFF"/>
                <w:sz w:val="22"/>
                <w:szCs w:val="28"/>
                <w:lang w:eastAsia="en-US"/>
              </w:rPr>
            </w:pPr>
          </w:p>
        </w:tc>
        <w:tc>
          <w:tcPr>
            <w:tcW w:w="251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1AA10E1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color w:val="FFFFFF"/>
                <w:sz w:val="22"/>
                <w:szCs w:val="28"/>
                <w:lang w:eastAsia="en-US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4566C12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color w:val="FFFFFF"/>
                <w:sz w:val="22"/>
                <w:szCs w:val="28"/>
                <w:lang w:eastAsia="en-US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7CAA69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color w:val="FFFFFF"/>
                <w:sz w:val="22"/>
                <w:szCs w:val="28"/>
                <w:lang w:eastAsia="en-US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A236A4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color w:val="FFFFFF"/>
                <w:sz w:val="22"/>
                <w:szCs w:val="28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11709C5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sz w:val="18"/>
                <w:szCs w:val="28"/>
                <w:lang w:eastAsia="en-US"/>
              </w:rPr>
            </w:pPr>
            <w:r w:rsidRPr="0012633B">
              <w:rPr>
                <w:rFonts w:ascii="Calibri" w:eastAsia="Calibri" w:hAnsi="Calibri" w:cstheme="minorBidi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D8D8D8"/>
            <w:vAlign w:val="center"/>
          </w:tcPr>
          <w:p w14:paraId="0BDE9C64" w14:textId="77777777" w:rsidR="0012633B" w:rsidRPr="0012633B" w:rsidRDefault="0012633B" w:rsidP="0012633B">
            <w:pPr>
              <w:spacing w:after="160" w:line="259" w:lineRule="auto"/>
              <w:ind w:left="0" w:firstLine="0"/>
              <w:contextualSpacing/>
              <w:jc w:val="center"/>
              <w:rPr>
                <w:rFonts w:ascii="Calibri" w:eastAsia="Calibri" w:hAnsi="Calibri" w:cstheme="minorBidi"/>
                <w:b/>
                <w:sz w:val="18"/>
                <w:szCs w:val="28"/>
                <w:lang w:eastAsia="en-US"/>
              </w:rPr>
            </w:pPr>
            <w:r w:rsidRPr="0012633B">
              <w:rPr>
                <w:rFonts w:ascii="Calibri" w:eastAsia="Calibri" w:hAnsi="Calibri" w:cstheme="minorBidi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12633B" w:rsidRPr="0012633B" w14:paraId="1FB99326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212E283B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14" w:type="pct"/>
            <w:vAlign w:val="center"/>
          </w:tcPr>
          <w:p w14:paraId="02CA2C17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Sanduíches variados (pão de forma sem casca - 50g) com queijo tipo muçarela fatiado, queijo muçarela e presunto fatiados, patê de atum e patê de ricota (20g), embalados individualmente em sacola plástica apropriada, entregue em caixa térmica) - quantidade total dividida entre os 3(três) sabores</w:t>
            </w:r>
          </w:p>
        </w:tc>
        <w:tc>
          <w:tcPr>
            <w:tcW w:w="299" w:type="pct"/>
            <w:vAlign w:val="center"/>
          </w:tcPr>
          <w:p w14:paraId="210A1ADD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1BB56615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UN</w:t>
            </w:r>
          </w:p>
        </w:tc>
        <w:tc>
          <w:tcPr>
            <w:tcW w:w="520" w:type="pct"/>
            <w:vAlign w:val="center"/>
          </w:tcPr>
          <w:p w14:paraId="1919FD49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15.600</w:t>
            </w:r>
          </w:p>
        </w:tc>
        <w:tc>
          <w:tcPr>
            <w:tcW w:w="535" w:type="pct"/>
            <w:vAlign w:val="center"/>
          </w:tcPr>
          <w:p w14:paraId="1516A234" w14:textId="726FCCB6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20595FB6" w14:textId="7CA57469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40E4912A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2D4EDDF7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14" w:type="pct"/>
            <w:vAlign w:val="center"/>
          </w:tcPr>
          <w:p w14:paraId="45A6194F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Torta salgada sabores (fria, de pão de forma, com recheio de frango com cobertura de maionese)</w:t>
            </w:r>
          </w:p>
        </w:tc>
        <w:tc>
          <w:tcPr>
            <w:tcW w:w="299" w:type="pct"/>
            <w:vAlign w:val="center"/>
          </w:tcPr>
          <w:p w14:paraId="1025B79B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120168DD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Kg</w:t>
            </w:r>
          </w:p>
        </w:tc>
        <w:tc>
          <w:tcPr>
            <w:tcW w:w="520" w:type="pct"/>
            <w:vAlign w:val="center"/>
          </w:tcPr>
          <w:p w14:paraId="5B209890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1.170</w:t>
            </w:r>
          </w:p>
        </w:tc>
        <w:tc>
          <w:tcPr>
            <w:tcW w:w="535" w:type="pct"/>
            <w:vAlign w:val="center"/>
          </w:tcPr>
          <w:p w14:paraId="0C89A196" w14:textId="0BA6E859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17089FBB" w14:textId="460D69F6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5ABB4075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1BA1D5FF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14" w:type="pct"/>
            <w:vAlign w:val="center"/>
          </w:tcPr>
          <w:p w14:paraId="2A9B5408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 xml:space="preserve">Bolo simples de sabores variados (sem recheio ou cobertura) - sabores variados: </w:t>
            </w: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lastRenderedPageBreak/>
              <w:t>branco, chocolate, laranja - quantidade total dividida entre os 3(três) sabores</w:t>
            </w:r>
          </w:p>
        </w:tc>
        <w:tc>
          <w:tcPr>
            <w:tcW w:w="299" w:type="pct"/>
            <w:vAlign w:val="center"/>
          </w:tcPr>
          <w:p w14:paraId="23F379D2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4E9528A2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Kg</w:t>
            </w:r>
          </w:p>
        </w:tc>
        <w:tc>
          <w:tcPr>
            <w:tcW w:w="520" w:type="pct"/>
            <w:vAlign w:val="center"/>
          </w:tcPr>
          <w:p w14:paraId="4B44A34C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535" w:type="pct"/>
            <w:vAlign w:val="center"/>
          </w:tcPr>
          <w:p w14:paraId="23396949" w14:textId="498495C6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6C88E4B7" w14:textId="1D2C59FA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612828D4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5CA4ABA2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14" w:type="pct"/>
            <w:vAlign w:val="center"/>
          </w:tcPr>
          <w:p w14:paraId="34594B9B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Pão doce simples (com creme - 50g)</w:t>
            </w:r>
          </w:p>
        </w:tc>
        <w:tc>
          <w:tcPr>
            <w:tcW w:w="299" w:type="pct"/>
            <w:vAlign w:val="center"/>
          </w:tcPr>
          <w:p w14:paraId="60B64668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4BB80076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Kg</w:t>
            </w:r>
          </w:p>
        </w:tc>
        <w:tc>
          <w:tcPr>
            <w:tcW w:w="520" w:type="pct"/>
            <w:vAlign w:val="center"/>
          </w:tcPr>
          <w:p w14:paraId="6CF6924B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468</w:t>
            </w:r>
          </w:p>
        </w:tc>
        <w:tc>
          <w:tcPr>
            <w:tcW w:w="535" w:type="pct"/>
            <w:vAlign w:val="center"/>
          </w:tcPr>
          <w:p w14:paraId="4A5748DF" w14:textId="110FB2BF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11937625" w14:textId="7E72B17B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0BA9968E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5CB3407B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14" w:type="pct"/>
            <w:vAlign w:val="center"/>
          </w:tcPr>
          <w:p w14:paraId="63BD8500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CACHORRO QUENTE COMPLETO – (pão careca 50g, salsicha hot dog, milho, ervilha, molho e batata palha, pronto para o consumo, embalados individualmente em sacola plástica apropriada, entregue em caixa térmica).</w:t>
            </w:r>
          </w:p>
        </w:tc>
        <w:tc>
          <w:tcPr>
            <w:tcW w:w="299" w:type="pct"/>
            <w:vAlign w:val="center"/>
          </w:tcPr>
          <w:p w14:paraId="78A4346D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4E7C3B39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UN</w:t>
            </w:r>
          </w:p>
        </w:tc>
        <w:tc>
          <w:tcPr>
            <w:tcW w:w="520" w:type="pct"/>
            <w:vAlign w:val="center"/>
          </w:tcPr>
          <w:p w14:paraId="0EF8DCD7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15.600</w:t>
            </w:r>
          </w:p>
        </w:tc>
        <w:tc>
          <w:tcPr>
            <w:tcW w:w="535" w:type="pct"/>
            <w:vAlign w:val="center"/>
          </w:tcPr>
          <w:p w14:paraId="7C3CE37E" w14:textId="68B71250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46F04C3D" w14:textId="224914FE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06F353BB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040189A0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14" w:type="pct"/>
            <w:vAlign w:val="center"/>
          </w:tcPr>
          <w:p w14:paraId="4A096FE7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Bolo de festa(bolo sabor natural, com recheio de frutas e creme de confeiteiro e cobertura de glacê e decoração com frutas)</w:t>
            </w:r>
          </w:p>
        </w:tc>
        <w:tc>
          <w:tcPr>
            <w:tcW w:w="299" w:type="pct"/>
            <w:vAlign w:val="center"/>
          </w:tcPr>
          <w:p w14:paraId="6716D445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71DA55B9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Kg</w:t>
            </w:r>
          </w:p>
        </w:tc>
        <w:tc>
          <w:tcPr>
            <w:tcW w:w="520" w:type="pct"/>
            <w:vAlign w:val="center"/>
          </w:tcPr>
          <w:p w14:paraId="6017814F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1.170</w:t>
            </w:r>
          </w:p>
        </w:tc>
        <w:tc>
          <w:tcPr>
            <w:tcW w:w="535" w:type="pct"/>
            <w:vAlign w:val="center"/>
          </w:tcPr>
          <w:p w14:paraId="00C88B25" w14:textId="734AB534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288EBCF2" w14:textId="52467030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3CE06743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3FDFD44F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514" w:type="pct"/>
            <w:vAlign w:val="center"/>
          </w:tcPr>
          <w:p w14:paraId="08E0B2B5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Pastel de queijo e carne moída( frito, pronto para consumo, formato meia lua, com no mínimo , 60 g por unidade) - quantidade total dividida entre os 2(dois) sabores.</w:t>
            </w:r>
          </w:p>
        </w:tc>
        <w:tc>
          <w:tcPr>
            <w:tcW w:w="299" w:type="pct"/>
            <w:vAlign w:val="center"/>
          </w:tcPr>
          <w:p w14:paraId="2F347703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0AC67CD8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Kg</w:t>
            </w:r>
          </w:p>
        </w:tc>
        <w:tc>
          <w:tcPr>
            <w:tcW w:w="520" w:type="pct"/>
            <w:vAlign w:val="center"/>
          </w:tcPr>
          <w:p w14:paraId="7BB01A45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936</w:t>
            </w:r>
          </w:p>
        </w:tc>
        <w:tc>
          <w:tcPr>
            <w:tcW w:w="535" w:type="pct"/>
            <w:vAlign w:val="center"/>
          </w:tcPr>
          <w:p w14:paraId="2DECC4ED" w14:textId="4076818D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6F4B7550" w14:textId="14168EF1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7A466325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07E65015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514" w:type="pct"/>
            <w:vAlign w:val="center"/>
          </w:tcPr>
          <w:p w14:paraId="299AE7D5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REFRIGERANTE de guaraná comum, embalagem de 2 litros, fornecido acompanhado de  copos descartáveis, conforme quantitativo estimado disposto no anexo I do Termo de Referência.</w:t>
            </w:r>
          </w:p>
        </w:tc>
        <w:tc>
          <w:tcPr>
            <w:tcW w:w="299" w:type="pct"/>
            <w:vAlign w:val="center"/>
          </w:tcPr>
          <w:p w14:paraId="36BCA4AE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7E0679EE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Litro</w:t>
            </w:r>
          </w:p>
        </w:tc>
        <w:tc>
          <w:tcPr>
            <w:tcW w:w="520" w:type="pct"/>
            <w:vAlign w:val="center"/>
          </w:tcPr>
          <w:p w14:paraId="59808DAE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1.950 l - 975 garrafas</w:t>
            </w:r>
          </w:p>
        </w:tc>
        <w:tc>
          <w:tcPr>
            <w:tcW w:w="535" w:type="pct"/>
            <w:vAlign w:val="center"/>
          </w:tcPr>
          <w:p w14:paraId="33C82D8B" w14:textId="5B7309AA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21880577" w14:textId="1D54DB70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110644B1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79567621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514" w:type="pct"/>
            <w:vAlign w:val="center"/>
          </w:tcPr>
          <w:p w14:paraId="04FEBB37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 xml:space="preserve">REFRIGERANTE de guaraná zero açúcar, embalagem de 2 litros, fornecido acompanhado de copos descartáveis, </w:t>
            </w: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lastRenderedPageBreak/>
              <w:t>conforme quantitativo estimado disposto no anexo I do Termo de Referência.</w:t>
            </w:r>
          </w:p>
        </w:tc>
        <w:tc>
          <w:tcPr>
            <w:tcW w:w="299" w:type="pct"/>
            <w:vAlign w:val="center"/>
          </w:tcPr>
          <w:p w14:paraId="3B60DDC2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0E283ED6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Litro</w:t>
            </w:r>
          </w:p>
        </w:tc>
        <w:tc>
          <w:tcPr>
            <w:tcW w:w="520" w:type="pct"/>
            <w:vAlign w:val="center"/>
          </w:tcPr>
          <w:p w14:paraId="38FF45AD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1.170 l - 585 garrafas</w:t>
            </w:r>
          </w:p>
        </w:tc>
        <w:tc>
          <w:tcPr>
            <w:tcW w:w="535" w:type="pct"/>
            <w:vAlign w:val="center"/>
          </w:tcPr>
          <w:p w14:paraId="3420BE96" w14:textId="1B3C0D0A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673C57EE" w14:textId="67469E84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7F2658F7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3885FE1D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14" w:type="pct"/>
            <w:vAlign w:val="center"/>
          </w:tcPr>
          <w:p w14:paraId="077260C7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Sucos naturais pronto para consumo, já diluído e adoçado (composto com suco concentrado e água, sabores: caju e maracujá</w:t>
            </w:r>
          </w:p>
        </w:tc>
        <w:tc>
          <w:tcPr>
            <w:tcW w:w="299" w:type="pct"/>
            <w:vAlign w:val="center"/>
          </w:tcPr>
          <w:p w14:paraId="49F75549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308FA4B1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Litro</w:t>
            </w:r>
          </w:p>
        </w:tc>
        <w:tc>
          <w:tcPr>
            <w:tcW w:w="520" w:type="pct"/>
            <w:vAlign w:val="center"/>
          </w:tcPr>
          <w:p w14:paraId="11ADE59B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1.950</w:t>
            </w:r>
          </w:p>
        </w:tc>
        <w:tc>
          <w:tcPr>
            <w:tcW w:w="535" w:type="pct"/>
            <w:vAlign w:val="center"/>
          </w:tcPr>
          <w:p w14:paraId="574E33D7" w14:textId="786D7E9B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6E279259" w14:textId="69CCFF5D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2A35C5EA" w14:textId="77777777" w:rsidTr="0012633B">
        <w:trPr>
          <w:trHeight w:val="284"/>
        </w:trPr>
        <w:tc>
          <w:tcPr>
            <w:tcW w:w="377" w:type="pct"/>
            <w:vAlign w:val="center"/>
          </w:tcPr>
          <w:p w14:paraId="7D2FE6A6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514" w:type="pct"/>
            <w:vAlign w:val="center"/>
          </w:tcPr>
          <w:p w14:paraId="31B0764D" w14:textId="77777777" w:rsidR="0012633B" w:rsidRPr="0012633B" w:rsidRDefault="0012633B" w:rsidP="0012633B">
            <w:pPr>
              <w:spacing w:after="160" w:line="360" w:lineRule="auto"/>
              <w:ind w:left="0" w:firstLine="0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Sucos naturais pronto para consumo, já diluído, adoçado com adoçante artificial,  (composto com suco concentrado e água, sabores : caju e maracujá</w:t>
            </w:r>
          </w:p>
        </w:tc>
        <w:tc>
          <w:tcPr>
            <w:tcW w:w="299" w:type="pct"/>
            <w:vAlign w:val="center"/>
          </w:tcPr>
          <w:p w14:paraId="59B73586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6" w:type="pct"/>
            <w:vAlign w:val="center"/>
          </w:tcPr>
          <w:p w14:paraId="648D2F71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Cs w:val="24"/>
                <w:lang w:eastAsia="en-US"/>
              </w:rPr>
              <w:t>Litro</w:t>
            </w:r>
          </w:p>
        </w:tc>
        <w:tc>
          <w:tcPr>
            <w:tcW w:w="520" w:type="pct"/>
            <w:vAlign w:val="center"/>
          </w:tcPr>
          <w:p w14:paraId="1761F31F" w14:textId="77777777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2633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1.170</w:t>
            </w:r>
          </w:p>
        </w:tc>
        <w:tc>
          <w:tcPr>
            <w:tcW w:w="535" w:type="pct"/>
            <w:vAlign w:val="center"/>
          </w:tcPr>
          <w:p w14:paraId="23B8A369" w14:textId="3A543C69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87" w:type="pct"/>
            <w:vAlign w:val="center"/>
          </w:tcPr>
          <w:p w14:paraId="7D61C0FE" w14:textId="1B9EE8C3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12633B" w:rsidRPr="0012633B" w14:paraId="4C2C4553" w14:textId="77777777" w:rsidTr="0012633B">
        <w:trPr>
          <w:trHeight w:val="284"/>
        </w:trPr>
        <w:tc>
          <w:tcPr>
            <w:tcW w:w="4613" w:type="pct"/>
            <w:gridSpan w:val="6"/>
            <w:tcBorders>
              <w:right w:val="nil"/>
            </w:tcBorders>
            <w:vAlign w:val="center"/>
          </w:tcPr>
          <w:p w14:paraId="6BF65C60" w14:textId="77777777" w:rsidR="0012633B" w:rsidRPr="0012633B" w:rsidRDefault="0012633B" w:rsidP="0012633B">
            <w:pPr>
              <w:wordWrap w:val="0"/>
              <w:spacing w:after="160" w:line="259" w:lineRule="auto"/>
              <w:ind w:left="0" w:firstLine="0"/>
              <w:jc w:val="right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12633B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  <w:t>Total =</w:t>
            </w:r>
          </w:p>
        </w:tc>
        <w:tc>
          <w:tcPr>
            <w:tcW w:w="387" w:type="pct"/>
            <w:tcBorders>
              <w:left w:val="nil"/>
            </w:tcBorders>
            <w:vAlign w:val="center"/>
          </w:tcPr>
          <w:p w14:paraId="6542BBD2" w14:textId="5EEE19E3" w:rsidR="0012633B" w:rsidRPr="0012633B" w:rsidRDefault="0012633B" w:rsidP="0012633B">
            <w:pPr>
              <w:spacing w:after="160" w:line="259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3CE6C8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6905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99495" w14:textId="77777777" w:rsidR="00773956" w:rsidRDefault="00773956" w:rsidP="007A67F8">
      <w:r>
        <w:separator/>
      </w:r>
    </w:p>
  </w:endnote>
  <w:endnote w:type="continuationSeparator" w:id="0">
    <w:p w14:paraId="6C44A39B" w14:textId="77777777" w:rsidR="00773956" w:rsidRDefault="0077395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2271" w14:textId="77777777" w:rsidR="00773956" w:rsidRDefault="00773956" w:rsidP="007A67F8">
      <w:r>
        <w:separator/>
      </w:r>
    </w:p>
  </w:footnote>
  <w:footnote w:type="continuationSeparator" w:id="0">
    <w:p w14:paraId="25D3B9FE" w14:textId="77777777" w:rsidR="00773956" w:rsidRDefault="0077395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25464B15" w:rsidR="005013DA" w:rsidRDefault="0012633B" w:rsidP="0012526A">
    <w:pPr>
      <w:suppressAutoHyphens/>
      <w:ind w:left="426" w:firstLine="0"/>
      <w:jc w:val="left"/>
    </w:pPr>
    <w:r w:rsidRPr="0012633B">
      <w:rPr>
        <w:rFonts w:ascii="Arial" w:hAnsi="Arial" w:cs="Tahoma"/>
        <w:b/>
        <w:noProof/>
        <w:szCs w:val="24"/>
      </w:rPr>
      <w:drawing>
        <wp:anchor distT="0" distB="0" distL="114300" distR="114300" simplePos="0" relativeHeight="251661312" behindDoc="0" locked="0" layoutInCell="1" allowOverlap="1" wp14:anchorId="73833CEA" wp14:editId="3EB5FCF6">
          <wp:simplePos x="0" y="0"/>
          <wp:positionH relativeFrom="column">
            <wp:posOffset>-124359</wp:posOffset>
          </wp:positionH>
          <wp:positionV relativeFrom="paragraph">
            <wp:posOffset>188950</wp:posOffset>
          </wp:positionV>
          <wp:extent cx="3931273" cy="702259"/>
          <wp:effectExtent l="0" t="0" r="0" b="0"/>
          <wp:wrapTopAndBottom/>
          <wp:docPr id="4" name="Imagem 4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31273" cy="702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CF2701" w14:textId="14BB3C73" w:rsidR="007A67F8" w:rsidRPr="00B01F04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C30A6E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2633B">
                            <w:rPr>
                              <w:rFonts w:cs="Calibri"/>
                              <w:sz w:val="20"/>
                              <w:szCs w:val="20"/>
                            </w:rPr>
                            <w:t>18.962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6C30A6E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2633B">
                      <w:rPr>
                        <w:rFonts w:cs="Calibri"/>
                        <w:sz w:val="20"/>
                        <w:szCs w:val="20"/>
                      </w:rPr>
                      <w:t>18.962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2633B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73956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06905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018A9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12633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589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3</cp:revision>
  <cp:lastPrinted>2022-01-13T14:58:00Z</cp:lastPrinted>
  <dcterms:created xsi:type="dcterms:W3CDTF">2021-05-27T14:26:00Z</dcterms:created>
  <dcterms:modified xsi:type="dcterms:W3CDTF">2023-02-03T13:39:00Z</dcterms:modified>
</cp:coreProperties>
</file>